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37EA" w14:textId="2764A56A" w:rsidR="0028139A" w:rsidRDefault="00AF4044" w:rsidP="00AF4044">
      <w:pPr>
        <w:spacing w:after="0" w:line="240" w:lineRule="auto"/>
        <w:rPr>
          <w:rFonts w:eastAsia="Times New Roman" w:cs="Times New Roman"/>
          <w:kern w:val="0"/>
          <w:lang w:eastAsia="en-GB"/>
          <w14:ligatures w14:val="none"/>
        </w:rPr>
      </w:pPr>
      <w:r w:rsidRPr="00AF4044">
        <w:rPr>
          <w:rFonts w:eastAsia="Times New Roman" w:cs="Times New Roman"/>
          <w:b/>
          <w:bCs/>
          <w:kern w:val="0"/>
          <w:lang w:eastAsia="en-GB"/>
          <w14:ligatures w14:val="none"/>
        </w:rPr>
        <w:t>RJC Noord Holland reglement (RJCNH)</w:t>
      </w:r>
      <w:r w:rsidRPr="00AF4044">
        <w:rPr>
          <w:rFonts w:eastAsia="Times New Roman" w:cs="Times New Roman"/>
          <w:b/>
          <w:bCs/>
          <w:kern w:val="0"/>
          <w:lang w:eastAsia="en-GB"/>
          <w14:ligatures w14:val="none"/>
        </w:rPr>
        <w:br/>
      </w:r>
      <w:r w:rsidRPr="00AF4044">
        <w:rPr>
          <w:rFonts w:eastAsia="Times New Roman" w:cs="Times New Roman"/>
          <w:kern w:val="0"/>
          <w:lang w:eastAsia="en-GB"/>
          <w14:ligatures w14:val="none"/>
        </w:rPr>
        <w:br/>
        <w:t>1. Deelnemende verenigingen</w:t>
      </w:r>
      <w:r w:rsidRPr="00AF4044">
        <w:rPr>
          <w:rFonts w:eastAsia="Times New Roman" w:cs="Times New Roman"/>
          <w:kern w:val="0"/>
          <w:lang w:eastAsia="en-GB"/>
          <w14:ligatures w14:val="none"/>
        </w:rPr>
        <w:br/>
        <w:t>Aan het RJCNH 2025-2026 doen mee: BV Slotermeer, BV Polisport, BV Vennewater, BV Martinus A Veen (Alleen in Goud en Zilver onderdeel van de ranking), BV Hoorn</w:t>
      </w:r>
      <w:r w:rsidRPr="00AF4044">
        <w:rPr>
          <w:rFonts w:eastAsia="Times New Roman" w:cs="Times New Roman"/>
          <w:kern w:val="0"/>
          <w:lang w:eastAsia="en-GB"/>
          <w14:ligatures w14:val="none"/>
        </w:rPr>
        <w:br/>
      </w:r>
    </w:p>
    <w:p w14:paraId="3984D129" w14:textId="4BE71C74" w:rsidR="0028139A" w:rsidRDefault="0028139A" w:rsidP="00AF4044">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2. Competietie Systeem</w:t>
      </w:r>
    </w:p>
    <w:p w14:paraId="0D2AE434" w14:textId="2E49DBA1" w:rsidR="0028139A" w:rsidRDefault="0028139A" w:rsidP="00AF4044">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Alle toernooien spelen conform het Competitie Systeem (Zilver, Goud, D, B, C, A). Daar waar een vereniging onderdelen volgens Leeftijd spelen, doen die onderdelen niet mee in de circuit ranking</w:t>
      </w:r>
    </w:p>
    <w:p w14:paraId="7271ADE1" w14:textId="1BEBF675" w:rsidR="007254D7" w:rsidRDefault="007254D7" w:rsidP="00AF4044">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De leeftijdsbepaslingen zijn op dezelfde basis als het lopende jeugdcompetitie seizoen</w:t>
      </w:r>
    </w:p>
    <w:p w14:paraId="34E374A2" w14:textId="34D6EA2E" w:rsidR="0028139A" w:rsidRDefault="0028139A" w:rsidP="00AF4044">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Elk individueel toernooi kan naar keuze een A+ onderdeel invoeren waar ook jeugdspelers uit de bondscompetitie uit divisie 6 en lager kunnen meedoen.</w:t>
      </w:r>
    </w:p>
    <w:p w14:paraId="1CFED307" w14:textId="0202ECAA" w:rsidR="0028139A" w:rsidRDefault="0028139A" w:rsidP="00AF4044">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Elk individueel toernooi kan er bij voldoende inschrijvingen voor kiezen om traditioneel genderneutrale onderdelen te verdelen in een Jongens en Meisjes categorie (Bijvoorbeeld Jongens Eenkel Goud en Meisjes Enkel Goud ipv Enkel Goud)</w:t>
      </w:r>
    </w:p>
    <w:p w14:paraId="71F8D92C" w14:textId="2486F05E" w:rsidR="0028139A" w:rsidRDefault="0028139A" w:rsidP="00AF4044">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De toenooien proberen overal tenminste een 1e en 2e prijs beschikbaar te stellen. Afhankelijk van het aantal inschrijvingen per onderdeel kan daar vanaf geweken worden. Geldprijzen zijn optioneel voor elk toernooi.</w:t>
      </w:r>
    </w:p>
    <w:p w14:paraId="305141F2" w14:textId="77777777" w:rsidR="0028139A" w:rsidRDefault="0028139A" w:rsidP="00AF4044">
      <w:pPr>
        <w:spacing w:after="0" w:line="240" w:lineRule="auto"/>
        <w:rPr>
          <w:rFonts w:eastAsia="Times New Roman" w:cs="Times New Roman"/>
          <w:kern w:val="0"/>
          <w:lang w:eastAsia="en-GB"/>
          <w14:ligatures w14:val="none"/>
        </w:rPr>
      </w:pPr>
    </w:p>
    <w:p w14:paraId="50357C1D" w14:textId="77777777" w:rsidR="00FA7726" w:rsidRDefault="00AF4044" w:rsidP="00AF4044">
      <w:pPr>
        <w:spacing w:after="0" w:line="240" w:lineRule="auto"/>
        <w:rPr>
          <w:rFonts w:eastAsia="Times New Roman" w:cs="Times New Roman"/>
          <w:kern w:val="0"/>
          <w:lang w:eastAsia="en-GB"/>
          <w14:ligatures w14:val="none"/>
        </w:rPr>
      </w:pPr>
      <w:r w:rsidRPr="00AF4044">
        <w:rPr>
          <w:rFonts w:eastAsia="Times New Roman" w:cs="Times New Roman"/>
          <w:kern w:val="0"/>
          <w:lang w:eastAsia="en-GB"/>
          <w14:ligatures w14:val="none"/>
        </w:rPr>
        <w:br/>
      </w:r>
      <w:r w:rsidR="0028139A">
        <w:rPr>
          <w:rFonts w:eastAsia="Times New Roman" w:cs="Times New Roman"/>
          <w:kern w:val="0"/>
          <w:lang w:eastAsia="en-GB"/>
          <w14:ligatures w14:val="none"/>
        </w:rPr>
        <w:t>3</w:t>
      </w:r>
      <w:r w:rsidRPr="00AF4044">
        <w:rPr>
          <w:rFonts w:eastAsia="Times New Roman" w:cs="Times New Roman"/>
          <w:kern w:val="0"/>
          <w:lang w:eastAsia="en-GB"/>
          <w14:ligatures w14:val="none"/>
        </w:rPr>
        <w:t>. Ranking</w:t>
      </w:r>
      <w:r w:rsidR="0028139A">
        <w:rPr>
          <w:rFonts w:eastAsia="Times New Roman" w:cs="Times New Roman"/>
          <w:kern w:val="0"/>
          <w:lang w:eastAsia="en-GB"/>
          <w14:ligatures w14:val="none"/>
        </w:rPr>
        <w:t xml:space="preserve"> Circuit</w:t>
      </w:r>
      <w:r w:rsidRPr="00AF4044">
        <w:rPr>
          <w:rFonts w:eastAsia="Times New Roman" w:cs="Times New Roman"/>
          <w:kern w:val="0"/>
          <w:lang w:eastAsia="en-GB"/>
          <w14:ligatures w14:val="none"/>
        </w:rPr>
        <w:br/>
        <w:t>Aan de deelname is een RJC ranking verbonden. Punten kunnen als volgt verdiend worden:</w:t>
      </w:r>
      <w:r w:rsidRPr="00AF4044">
        <w:rPr>
          <w:rFonts w:eastAsia="Times New Roman" w:cs="Times New Roman"/>
          <w:kern w:val="0"/>
          <w:lang w:eastAsia="en-GB"/>
          <w14:ligatures w14:val="none"/>
        </w:rPr>
        <w:br/>
        <w:t>- 1 punt voor deelname per toernooi</w:t>
      </w:r>
      <w:r w:rsidRPr="00AF4044">
        <w:rPr>
          <w:rFonts w:eastAsia="Times New Roman" w:cs="Times New Roman"/>
          <w:kern w:val="0"/>
          <w:lang w:eastAsia="en-GB"/>
          <w14:ligatures w14:val="none"/>
        </w:rPr>
        <w:br/>
        <w:t>- 5 punten voor een gewonnen wedstrijd (gespeelde wedstrijden; of een bye bij een geplaatste speler in poule ronde)</w:t>
      </w:r>
      <w:r w:rsidR="0028139A">
        <w:rPr>
          <w:rFonts w:eastAsia="Times New Roman" w:cs="Times New Roman"/>
          <w:kern w:val="0"/>
          <w:lang w:eastAsia="en-GB"/>
          <w14:ligatures w14:val="none"/>
        </w:rPr>
        <w:t xml:space="preserve"> </w:t>
      </w:r>
      <w:r w:rsidRPr="00AF4044">
        <w:rPr>
          <w:rFonts w:eastAsia="Times New Roman" w:cs="Times New Roman"/>
          <w:kern w:val="0"/>
          <w:lang w:eastAsia="en-GB"/>
          <w14:ligatures w14:val="none"/>
        </w:rPr>
        <w:br/>
        <w:t>- Punten voor eind positie 1e, 2e, 3e of 4e plaats in poule (in afval schema: winnaar finale, verliezer finale, verliezer halve finale, verliezer kwart finale); het aantal punten is afhankelijk van een combi van deze eindpositie en het aantal deelnemers in het onderdeel. Hoe meer deelnemers, hoe meer punten gehaald kunnen worden</w:t>
      </w:r>
      <w:r w:rsidR="00FA7726">
        <w:rPr>
          <w:rFonts w:eastAsia="Times New Roman" w:cs="Times New Roman"/>
          <w:kern w:val="0"/>
          <w:lang w:eastAsia="en-GB"/>
          <w14:ligatures w14:val="none"/>
        </w:rPr>
        <w:t xml:space="preserve"> (zie tabel einde regelemnt)</w:t>
      </w:r>
      <w:r w:rsidRPr="00AF4044">
        <w:rPr>
          <w:rFonts w:eastAsia="Times New Roman" w:cs="Times New Roman"/>
          <w:kern w:val="0"/>
          <w:lang w:eastAsia="en-GB"/>
          <w14:ligatures w14:val="none"/>
        </w:rPr>
        <w:br/>
        <w:t>- Om in aanmerking te komen voor een prijs in het RJC op basis van deze ranking, is het noodzakelijk tenminste aan 2 toernooien te hebben deelgenomen.</w:t>
      </w:r>
    </w:p>
    <w:p w14:paraId="79D76DBB" w14:textId="5BC0904B" w:rsidR="00AF4044" w:rsidRPr="00AF4044" w:rsidRDefault="00FA7726" w:rsidP="00AF4044">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De ranking is per onderdeel. Wanneer een speler bij verschillende toernooien in verschillende onderdelen meedoet, zal deze speler per odnerdeel apart in de ranking meedoen. De ranking punten worden dus niet per persoon opgeteld.</w:t>
      </w:r>
      <w:r w:rsidR="00AF4044" w:rsidRPr="00AF4044">
        <w:rPr>
          <w:rFonts w:eastAsia="Times New Roman" w:cs="Times New Roman"/>
          <w:kern w:val="0"/>
          <w:lang w:eastAsia="en-GB"/>
          <w14:ligatures w14:val="none"/>
        </w:rPr>
        <w:br/>
        <w:t>- Het toernooi van Martinus A Veen doet alleen in de categorieën Zilver en Goud mee in de ranking; daarboven spelen ze in U15 en U17</w:t>
      </w:r>
      <w:r w:rsidR="00AF4044" w:rsidRPr="00AF4044">
        <w:rPr>
          <w:rFonts w:eastAsia="Times New Roman" w:cs="Times New Roman"/>
          <w:kern w:val="0"/>
          <w:lang w:eastAsia="en-GB"/>
          <w14:ligatures w14:val="none"/>
        </w:rPr>
        <w:br/>
      </w:r>
      <w:r w:rsidR="00AF4044" w:rsidRPr="00AF4044">
        <w:rPr>
          <w:rFonts w:eastAsia="Times New Roman" w:cs="Times New Roman"/>
          <w:kern w:val="0"/>
          <w:lang w:eastAsia="en-GB"/>
          <w14:ligatures w14:val="none"/>
        </w:rPr>
        <w:br/>
      </w:r>
      <w:r w:rsidR="00AF4044" w:rsidRPr="00AF4044">
        <w:rPr>
          <w:rFonts w:eastAsia="Times New Roman" w:cs="Times New Roman"/>
          <w:kern w:val="0"/>
          <w:lang w:eastAsia="en-GB"/>
          <w14:ligatures w14:val="none"/>
        </w:rPr>
        <w:br/>
      </w:r>
      <w:r w:rsidR="0028139A">
        <w:rPr>
          <w:rFonts w:eastAsia="Times New Roman" w:cs="Times New Roman"/>
          <w:kern w:val="0"/>
          <w:lang w:eastAsia="en-GB"/>
          <w14:ligatures w14:val="none"/>
        </w:rPr>
        <w:t>4</w:t>
      </w:r>
      <w:r w:rsidR="00AF4044" w:rsidRPr="00AF4044">
        <w:rPr>
          <w:rFonts w:eastAsia="Times New Roman" w:cs="Times New Roman"/>
          <w:kern w:val="0"/>
          <w:lang w:eastAsia="en-GB"/>
          <w14:ligatures w14:val="none"/>
        </w:rPr>
        <w:t>. Prijzen</w:t>
      </w:r>
      <w:r w:rsidR="0028139A">
        <w:rPr>
          <w:rFonts w:eastAsia="Times New Roman" w:cs="Times New Roman"/>
          <w:kern w:val="0"/>
          <w:lang w:eastAsia="en-GB"/>
          <w14:ligatures w14:val="none"/>
        </w:rPr>
        <w:t xml:space="preserve"> Circuit</w:t>
      </w:r>
      <w:r w:rsidR="00AF4044" w:rsidRPr="00AF4044">
        <w:rPr>
          <w:rFonts w:eastAsia="Times New Roman" w:cs="Times New Roman"/>
          <w:kern w:val="0"/>
          <w:lang w:eastAsia="en-GB"/>
          <w14:ligatures w14:val="none"/>
        </w:rPr>
        <w:br/>
        <w:t>Voor de 1e en 2e prijs wordt een prijs ter beschikking gesteld. Het betreft een trofee (geen geldprijs voor categorie A+)</w:t>
      </w:r>
      <w:r w:rsidR="00AF4044" w:rsidRPr="00AF4044">
        <w:rPr>
          <w:rFonts w:eastAsia="Times New Roman" w:cs="Times New Roman"/>
          <w:kern w:val="0"/>
          <w:lang w:eastAsia="en-GB"/>
          <w14:ligatures w14:val="none"/>
        </w:rPr>
        <w:br/>
        <w:t>Een 2e prijs is alleen beschikbaar voor onderdelen met tenminste 4 deelnemers. </w:t>
      </w:r>
      <w:r w:rsidR="00AF4044" w:rsidRPr="00AF4044">
        <w:rPr>
          <w:rFonts w:eastAsia="Times New Roman" w:cs="Times New Roman"/>
          <w:kern w:val="0"/>
          <w:lang w:eastAsia="en-GB"/>
          <w14:ligatures w14:val="none"/>
        </w:rPr>
        <w:br/>
      </w:r>
      <w:r w:rsidR="00AF4044" w:rsidRPr="00AF4044">
        <w:rPr>
          <w:rFonts w:eastAsia="Times New Roman" w:cs="Times New Roman"/>
          <w:kern w:val="0"/>
          <w:lang w:eastAsia="en-GB"/>
          <w14:ligatures w14:val="none"/>
        </w:rPr>
        <w:br/>
      </w:r>
      <w:r w:rsidR="00AF4044" w:rsidRPr="00AF4044">
        <w:rPr>
          <w:rFonts w:eastAsia="Times New Roman" w:cs="Times New Roman"/>
          <w:kern w:val="0"/>
          <w:lang w:eastAsia="en-GB"/>
          <w14:ligatures w14:val="none"/>
        </w:rPr>
        <w:lastRenderedPageBreak/>
        <w:t>De prijsuitreiking zal plaats hebben aan het einde van het laatste toernooi van het circuit.</w:t>
      </w:r>
      <w:r w:rsidR="00AF4044" w:rsidRPr="00AF4044">
        <w:rPr>
          <w:rFonts w:eastAsia="Times New Roman" w:cs="Times New Roman"/>
          <w:kern w:val="0"/>
          <w:lang w:eastAsia="en-GB"/>
          <w14:ligatures w14:val="none"/>
        </w:rPr>
        <w:br/>
      </w:r>
      <w:r w:rsidR="00AF4044" w:rsidRPr="00AF4044">
        <w:rPr>
          <w:rFonts w:eastAsia="Times New Roman" w:cs="Times New Roman"/>
          <w:kern w:val="0"/>
          <w:lang w:eastAsia="en-GB"/>
          <w14:ligatures w14:val="none"/>
        </w:rPr>
        <w:br/>
        <w:t>Voor spelers die aan alle toernooien van het circuit hebben deelgenomen, is er een vaantje welke eveneens bij de prijsuitreiking na het laatste toernooi wordt uitgedeeld, ongeacht je resultaat.</w:t>
      </w:r>
    </w:p>
    <w:p w14:paraId="5899A5BA" w14:textId="77777777" w:rsidR="00AF4044" w:rsidRDefault="00AF4044" w:rsidP="00AF4044">
      <w:pPr>
        <w:spacing w:after="0" w:line="240" w:lineRule="auto"/>
        <w:jc w:val="center"/>
        <w:rPr>
          <w:rFonts w:eastAsia="Times New Roman" w:cs="Times New Roman"/>
          <w:kern w:val="0"/>
          <w:lang w:eastAsia="en-GB"/>
          <w14:ligatures w14:val="none"/>
        </w:rPr>
      </w:pPr>
    </w:p>
    <w:tbl>
      <w:tblPr>
        <w:tblW w:w="5362" w:type="dxa"/>
        <w:tblLook w:val="04A0" w:firstRow="1" w:lastRow="0" w:firstColumn="1" w:lastColumn="0" w:noHBand="0" w:noVBand="1"/>
      </w:tblPr>
      <w:tblGrid>
        <w:gridCol w:w="1350"/>
        <w:gridCol w:w="1003"/>
        <w:gridCol w:w="1003"/>
        <w:gridCol w:w="1003"/>
        <w:gridCol w:w="1003"/>
      </w:tblGrid>
      <w:tr w:rsidR="00043F9B" w:rsidRPr="00043F9B" w14:paraId="1D21C8FC" w14:textId="77777777" w:rsidTr="00043F9B">
        <w:trPr>
          <w:trHeight w:val="280"/>
        </w:trPr>
        <w:tc>
          <w:tcPr>
            <w:tcW w:w="1350" w:type="dxa"/>
            <w:tcBorders>
              <w:top w:val="single" w:sz="8" w:space="0" w:color="000080"/>
              <w:left w:val="single" w:sz="8" w:space="0" w:color="000080"/>
              <w:bottom w:val="single" w:sz="8" w:space="0" w:color="000080"/>
              <w:right w:val="nil"/>
            </w:tcBorders>
            <w:shd w:val="clear" w:color="000000" w:fill="000080"/>
            <w:vAlign w:val="center"/>
            <w:hideMark/>
          </w:tcPr>
          <w:p w14:paraId="6CB82AAB" w14:textId="77777777" w:rsidR="00043F9B" w:rsidRPr="00043F9B" w:rsidRDefault="00043F9B" w:rsidP="00043F9B">
            <w:pPr>
              <w:spacing w:after="0" w:line="240" w:lineRule="auto"/>
              <w:ind w:firstLineChars="200" w:firstLine="402"/>
              <w:rPr>
                <w:rFonts w:ascii="Arial" w:eastAsia="Times New Roman" w:hAnsi="Arial" w:cs="Arial"/>
                <w:b/>
                <w:bCs/>
                <w:color w:val="FFFFFF"/>
                <w:kern w:val="0"/>
                <w:sz w:val="20"/>
                <w:szCs w:val="20"/>
                <w:lang w:eastAsia="en-GB"/>
                <w14:ligatures w14:val="none"/>
              </w:rPr>
            </w:pPr>
            <w:r w:rsidRPr="00043F9B">
              <w:rPr>
                <w:rFonts w:ascii="Arial" w:eastAsia="Times New Roman" w:hAnsi="Arial" w:cs="Arial"/>
                <w:b/>
                <w:bCs/>
                <w:color w:val="FFFFFF"/>
                <w:kern w:val="0"/>
                <w:sz w:val="20"/>
                <w:szCs w:val="20"/>
                <w:lang w:eastAsia="en-GB"/>
                <w14:ligatures w14:val="none"/>
              </w:rPr>
              <w:t> </w:t>
            </w:r>
          </w:p>
        </w:tc>
        <w:tc>
          <w:tcPr>
            <w:tcW w:w="4012" w:type="dxa"/>
            <w:gridSpan w:val="4"/>
            <w:tcBorders>
              <w:top w:val="single" w:sz="8" w:space="0" w:color="000080"/>
              <w:left w:val="nil"/>
              <w:bottom w:val="single" w:sz="8" w:space="0" w:color="000080"/>
              <w:right w:val="single" w:sz="8" w:space="0" w:color="000080"/>
            </w:tcBorders>
            <w:shd w:val="clear" w:color="000000" w:fill="000080"/>
            <w:vAlign w:val="center"/>
            <w:hideMark/>
          </w:tcPr>
          <w:p w14:paraId="06DE66FE" w14:textId="77777777" w:rsidR="00043F9B" w:rsidRPr="00043F9B" w:rsidRDefault="00043F9B" w:rsidP="00043F9B">
            <w:pPr>
              <w:spacing w:after="0" w:line="240" w:lineRule="auto"/>
              <w:jc w:val="center"/>
              <w:rPr>
                <w:rFonts w:ascii="Arial" w:eastAsia="Times New Roman" w:hAnsi="Arial" w:cs="Arial"/>
                <w:b/>
                <w:bCs/>
                <w:color w:val="FFFFFF"/>
                <w:kern w:val="0"/>
                <w:sz w:val="20"/>
                <w:szCs w:val="20"/>
                <w:lang w:eastAsia="en-GB"/>
                <w14:ligatures w14:val="none"/>
              </w:rPr>
            </w:pPr>
            <w:r w:rsidRPr="00043F9B">
              <w:rPr>
                <w:rFonts w:ascii="Arial" w:eastAsia="Times New Roman" w:hAnsi="Arial" w:cs="Arial"/>
                <w:b/>
                <w:bCs/>
                <w:color w:val="FFFFFF"/>
                <w:kern w:val="0"/>
                <w:sz w:val="20"/>
                <w:szCs w:val="20"/>
                <w:lang w:eastAsia="en-GB"/>
                <w14:ligatures w14:val="none"/>
              </w:rPr>
              <w:t>Prestatie 1</w:t>
            </w:r>
          </w:p>
        </w:tc>
      </w:tr>
      <w:tr w:rsidR="00043F9B" w:rsidRPr="00043F9B" w14:paraId="5294A7D4" w14:textId="77777777" w:rsidTr="00043F9B">
        <w:trPr>
          <w:trHeight w:val="860"/>
        </w:trPr>
        <w:tc>
          <w:tcPr>
            <w:tcW w:w="1350" w:type="dxa"/>
            <w:tcBorders>
              <w:top w:val="nil"/>
              <w:left w:val="single" w:sz="8" w:space="0" w:color="000080"/>
              <w:bottom w:val="single" w:sz="8" w:space="0" w:color="000080"/>
              <w:right w:val="single" w:sz="8" w:space="0" w:color="000080"/>
            </w:tcBorders>
            <w:vAlign w:val="center"/>
            <w:hideMark/>
          </w:tcPr>
          <w:p w14:paraId="3428338E" w14:textId="77777777" w:rsidR="00043F9B" w:rsidRPr="00043F9B" w:rsidRDefault="00043F9B" w:rsidP="00043F9B">
            <w:pPr>
              <w:spacing w:after="0" w:line="240" w:lineRule="auto"/>
              <w:rPr>
                <w:rFonts w:ascii="Arial" w:eastAsia="Times New Roman" w:hAnsi="Arial" w:cs="Arial"/>
                <w:b/>
                <w:bCs/>
                <w:kern w:val="0"/>
                <w:sz w:val="20"/>
                <w:szCs w:val="20"/>
                <w:lang w:eastAsia="en-GB"/>
                <w14:ligatures w14:val="none"/>
              </w:rPr>
            </w:pPr>
            <w:r w:rsidRPr="00043F9B">
              <w:rPr>
                <w:rFonts w:ascii="Arial" w:eastAsia="Times New Roman" w:hAnsi="Arial" w:cs="Arial"/>
                <w:b/>
                <w:bCs/>
                <w:kern w:val="0"/>
                <w:sz w:val="20"/>
                <w:szCs w:val="20"/>
                <w:lang w:eastAsia="en-GB"/>
                <w14:ligatures w14:val="none"/>
              </w:rPr>
              <w:t>Aantal Deelnemers</w:t>
            </w:r>
          </w:p>
        </w:tc>
        <w:tc>
          <w:tcPr>
            <w:tcW w:w="1003" w:type="dxa"/>
            <w:tcBorders>
              <w:top w:val="nil"/>
              <w:left w:val="single" w:sz="8" w:space="0" w:color="000080"/>
              <w:bottom w:val="nil"/>
              <w:right w:val="nil"/>
            </w:tcBorders>
            <w:vAlign w:val="center"/>
            <w:hideMark/>
          </w:tcPr>
          <w:p w14:paraId="14D25E47" w14:textId="77777777" w:rsidR="00043F9B" w:rsidRPr="00043F9B" w:rsidRDefault="00043F9B" w:rsidP="00043F9B">
            <w:pPr>
              <w:spacing w:after="0" w:line="240" w:lineRule="auto"/>
              <w:jc w:val="right"/>
              <w:rPr>
                <w:rFonts w:ascii="Arial" w:eastAsia="Times New Roman" w:hAnsi="Arial" w:cs="Arial"/>
                <w:b/>
                <w:bCs/>
                <w:kern w:val="0"/>
                <w:sz w:val="20"/>
                <w:szCs w:val="20"/>
                <w:lang w:eastAsia="en-GB"/>
                <w14:ligatures w14:val="none"/>
              </w:rPr>
            </w:pPr>
            <w:r w:rsidRPr="00043F9B">
              <w:rPr>
                <w:rFonts w:ascii="Arial" w:eastAsia="Times New Roman" w:hAnsi="Arial" w:cs="Arial"/>
                <w:b/>
                <w:bCs/>
                <w:kern w:val="0"/>
                <w:sz w:val="20"/>
                <w:szCs w:val="20"/>
                <w:lang w:eastAsia="en-GB"/>
                <w14:ligatures w14:val="none"/>
              </w:rPr>
              <w:t>1</w:t>
            </w:r>
          </w:p>
        </w:tc>
        <w:tc>
          <w:tcPr>
            <w:tcW w:w="1003" w:type="dxa"/>
            <w:tcBorders>
              <w:top w:val="nil"/>
              <w:left w:val="single" w:sz="8" w:space="0" w:color="000080"/>
              <w:bottom w:val="nil"/>
              <w:right w:val="nil"/>
            </w:tcBorders>
            <w:vAlign w:val="center"/>
            <w:hideMark/>
          </w:tcPr>
          <w:p w14:paraId="65778FB3" w14:textId="77777777" w:rsidR="00043F9B" w:rsidRPr="00043F9B" w:rsidRDefault="00043F9B" w:rsidP="00043F9B">
            <w:pPr>
              <w:spacing w:after="0" w:line="240" w:lineRule="auto"/>
              <w:jc w:val="right"/>
              <w:rPr>
                <w:rFonts w:ascii="Arial" w:eastAsia="Times New Roman" w:hAnsi="Arial" w:cs="Arial"/>
                <w:b/>
                <w:bCs/>
                <w:kern w:val="0"/>
                <w:sz w:val="20"/>
                <w:szCs w:val="20"/>
                <w:lang w:eastAsia="en-GB"/>
                <w14:ligatures w14:val="none"/>
              </w:rPr>
            </w:pPr>
            <w:r w:rsidRPr="00043F9B">
              <w:rPr>
                <w:rFonts w:ascii="Arial" w:eastAsia="Times New Roman" w:hAnsi="Arial" w:cs="Arial"/>
                <w:b/>
                <w:bCs/>
                <w:kern w:val="0"/>
                <w:sz w:val="20"/>
                <w:szCs w:val="20"/>
                <w:lang w:eastAsia="en-GB"/>
                <w14:ligatures w14:val="none"/>
              </w:rPr>
              <w:t>2</w:t>
            </w:r>
          </w:p>
        </w:tc>
        <w:tc>
          <w:tcPr>
            <w:tcW w:w="1003" w:type="dxa"/>
            <w:tcBorders>
              <w:top w:val="nil"/>
              <w:left w:val="single" w:sz="8" w:space="0" w:color="000080"/>
              <w:bottom w:val="nil"/>
              <w:right w:val="nil"/>
            </w:tcBorders>
            <w:vAlign w:val="center"/>
            <w:hideMark/>
          </w:tcPr>
          <w:p w14:paraId="36D0B1ED" w14:textId="77777777" w:rsidR="00043F9B" w:rsidRPr="00043F9B" w:rsidRDefault="00043F9B" w:rsidP="00043F9B">
            <w:pPr>
              <w:spacing w:after="0" w:line="240" w:lineRule="auto"/>
              <w:jc w:val="right"/>
              <w:rPr>
                <w:rFonts w:ascii="Arial" w:eastAsia="Times New Roman" w:hAnsi="Arial" w:cs="Arial"/>
                <w:b/>
                <w:bCs/>
                <w:kern w:val="0"/>
                <w:sz w:val="20"/>
                <w:szCs w:val="20"/>
                <w:lang w:eastAsia="en-GB"/>
                <w14:ligatures w14:val="none"/>
              </w:rPr>
            </w:pPr>
            <w:r w:rsidRPr="00043F9B">
              <w:rPr>
                <w:rFonts w:ascii="Arial" w:eastAsia="Times New Roman" w:hAnsi="Arial" w:cs="Arial"/>
                <w:b/>
                <w:bCs/>
                <w:kern w:val="0"/>
                <w:sz w:val="20"/>
                <w:szCs w:val="20"/>
                <w:lang w:eastAsia="en-GB"/>
                <w14:ligatures w14:val="none"/>
              </w:rPr>
              <w:t>3</w:t>
            </w:r>
          </w:p>
        </w:tc>
        <w:tc>
          <w:tcPr>
            <w:tcW w:w="1003" w:type="dxa"/>
            <w:tcBorders>
              <w:top w:val="nil"/>
              <w:left w:val="single" w:sz="8" w:space="0" w:color="000080"/>
              <w:bottom w:val="single" w:sz="8" w:space="0" w:color="000000"/>
              <w:right w:val="single" w:sz="8" w:space="0" w:color="000000"/>
            </w:tcBorders>
            <w:vAlign w:val="center"/>
            <w:hideMark/>
          </w:tcPr>
          <w:p w14:paraId="7F469A26"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4</w:t>
            </w:r>
          </w:p>
        </w:tc>
      </w:tr>
      <w:tr w:rsidR="00043F9B" w:rsidRPr="00043F9B" w14:paraId="4D30AAA4" w14:textId="77777777" w:rsidTr="00043F9B">
        <w:trPr>
          <w:trHeight w:val="280"/>
        </w:trPr>
        <w:tc>
          <w:tcPr>
            <w:tcW w:w="1350" w:type="dxa"/>
            <w:tcBorders>
              <w:top w:val="nil"/>
              <w:left w:val="single" w:sz="8" w:space="0" w:color="000080"/>
              <w:bottom w:val="single" w:sz="8" w:space="0" w:color="000080"/>
              <w:right w:val="nil"/>
            </w:tcBorders>
            <w:vAlign w:val="center"/>
            <w:hideMark/>
          </w:tcPr>
          <w:p w14:paraId="2BF74BCE" w14:textId="77777777" w:rsidR="00043F9B" w:rsidRPr="00043F9B" w:rsidRDefault="00043F9B" w:rsidP="00043F9B">
            <w:pPr>
              <w:spacing w:after="0" w:line="240" w:lineRule="auto"/>
              <w:jc w:val="right"/>
              <w:rPr>
                <w:rFonts w:ascii="Arial" w:eastAsia="Times New Roman" w:hAnsi="Arial" w:cs="Arial"/>
                <w:b/>
                <w:bCs/>
                <w:kern w:val="0"/>
                <w:sz w:val="20"/>
                <w:szCs w:val="20"/>
                <w:lang w:eastAsia="en-GB"/>
                <w14:ligatures w14:val="none"/>
              </w:rPr>
            </w:pPr>
            <w:r w:rsidRPr="00043F9B">
              <w:rPr>
                <w:rFonts w:ascii="Arial" w:eastAsia="Times New Roman" w:hAnsi="Arial" w:cs="Arial"/>
                <w:b/>
                <w:bCs/>
                <w:kern w:val="0"/>
                <w:sz w:val="20"/>
                <w:szCs w:val="20"/>
                <w:lang w:eastAsia="en-GB"/>
                <w14:ligatures w14:val="none"/>
              </w:rPr>
              <w:t>3</w:t>
            </w:r>
          </w:p>
        </w:tc>
        <w:tc>
          <w:tcPr>
            <w:tcW w:w="1003" w:type="dxa"/>
            <w:tcBorders>
              <w:top w:val="single" w:sz="8" w:space="0" w:color="000080"/>
              <w:left w:val="single" w:sz="8" w:space="0" w:color="000080"/>
              <w:bottom w:val="single" w:sz="8" w:space="0" w:color="000000"/>
              <w:right w:val="nil"/>
            </w:tcBorders>
            <w:vAlign w:val="center"/>
            <w:hideMark/>
          </w:tcPr>
          <w:p w14:paraId="5CF5EA26"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8</w:t>
            </w:r>
          </w:p>
        </w:tc>
        <w:tc>
          <w:tcPr>
            <w:tcW w:w="1003" w:type="dxa"/>
            <w:tcBorders>
              <w:top w:val="single" w:sz="8" w:space="0" w:color="000080"/>
              <w:left w:val="single" w:sz="8" w:space="0" w:color="000080"/>
              <w:bottom w:val="single" w:sz="8" w:space="0" w:color="000000"/>
              <w:right w:val="nil"/>
            </w:tcBorders>
            <w:vAlign w:val="center"/>
            <w:hideMark/>
          </w:tcPr>
          <w:p w14:paraId="61249716"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4</w:t>
            </w:r>
          </w:p>
        </w:tc>
        <w:tc>
          <w:tcPr>
            <w:tcW w:w="1003" w:type="dxa"/>
            <w:tcBorders>
              <w:top w:val="single" w:sz="8" w:space="0" w:color="000080"/>
              <w:left w:val="single" w:sz="8" w:space="0" w:color="000080"/>
              <w:bottom w:val="single" w:sz="8" w:space="0" w:color="000000"/>
              <w:right w:val="nil"/>
            </w:tcBorders>
            <w:vAlign w:val="center"/>
            <w:hideMark/>
          </w:tcPr>
          <w:p w14:paraId="53C4FFC8" w14:textId="77777777" w:rsidR="00043F9B" w:rsidRPr="00043F9B" w:rsidRDefault="00043F9B" w:rsidP="00043F9B">
            <w:pPr>
              <w:spacing w:after="0" w:line="240" w:lineRule="auto"/>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 </w:t>
            </w:r>
          </w:p>
        </w:tc>
        <w:tc>
          <w:tcPr>
            <w:tcW w:w="1003" w:type="dxa"/>
            <w:tcBorders>
              <w:top w:val="single" w:sz="8" w:space="0" w:color="000080"/>
              <w:left w:val="single" w:sz="8" w:space="0" w:color="000080"/>
              <w:bottom w:val="single" w:sz="8" w:space="0" w:color="000000"/>
              <w:right w:val="single" w:sz="8" w:space="0" w:color="000000"/>
            </w:tcBorders>
            <w:vAlign w:val="center"/>
            <w:hideMark/>
          </w:tcPr>
          <w:p w14:paraId="47957EDC" w14:textId="77777777" w:rsidR="00043F9B" w:rsidRPr="00043F9B" w:rsidRDefault="00043F9B" w:rsidP="00043F9B">
            <w:pPr>
              <w:spacing w:after="0" w:line="240" w:lineRule="auto"/>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 </w:t>
            </w:r>
          </w:p>
        </w:tc>
      </w:tr>
      <w:tr w:rsidR="00043F9B" w:rsidRPr="00043F9B" w14:paraId="54E6D2FC" w14:textId="77777777" w:rsidTr="00043F9B">
        <w:trPr>
          <w:trHeight w:val="280"/>
        </w:trPr>
        <w:tc>
          <w:tcPr>
            <w:tcW w:w="1350" w:type="dxa"/>
            <w:tcBorders>
              <w:top w:val="nil"/>
              <w:left w:val="single" w:sz="8" w:space="0" w:color="000080"/>
              <w:bottom w:val="single" w:sz="8" w:space="0" w:color="000080"/>
              <w:right w:val="nil"/>
            </w:tcBorders>
            <w:vAlign w:val="center"/>
            <w:hideMark/>
          </w:tcPr>
          <w:p w14:paraId="5F0F44EC" w14:textId="77777777" w:rsidR="00043F9B" w:rsidRPr="00043F9B" w:rsidRDefault="00043F9B" w:rsidP="00043F9B">
            <w:pPr>
              <w:spacing w:after="0" w:line="240" w:lineRule="auto"/>
              <w:jc w:val="right"/>
              <w:rPr>
                <w:rFonts w:ascii="Arial" w:eastAsia="Times New Roman" w:hAnsi="Arial" w:cs="Arial"/>
                <w:b/>
                <w:bCs/>
                <w:kern w:val="0"/>
                <w:sz w:val="20"/>
                <w:szCs w:val="20"/>
                <w:lang w:eastAsia="en-GB"/>
                <w14:ligatures w14:val="none"/>
              </w:rPr>
            </w:pPr>
            <w:r w:rsidRPr="00043F9B">
              <w:rPr>
                <w:rFonts w:ascii="Arial" w:eastAsia="Times New Roman" w:hAnsi="Arial" w:cs="Arial"/>
                <w:b/>
                <w:bCs/>
                <w:kern w:val="0"/>
                <w:sz w:val="20"/>
                <w:szCs w:val="20"/>
                <w:lang w:eastAsia="en-GB"/>
                <w14:ligatures w14:val="none"/>
              </w:rPr>
              <w:t>4</w:t>
            </w:r>
          </w:p>
        </w:tc>
        <w:tc>
          <w:tcPr>
            <w:tcW w:w="1003" w:type="dxa"/>
            <w:tcBorders>
              <w:top w:val="nil"/>
              <w:left w:val="single" w:sz="8" w:space="0" w:color="000080"/>
              <w:bottom w:val="single" w:sz="8" w:space="0" w:color="000080"/>
              <w:right w:val="nil"/>
            </w:tcBorders>
            <w:vAlign w:val="center"/>
            <w:hideMark/>
          </w:tcPr>
          <w:p w14:paraId="5A43AAE2"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16</w:t>
            </w:r>
          </w:p>
        </w:tc>
        <w:tc>
          <w:tcPr>
            <w:tcW w:w="1003" w:type="dxa"/>
            <w:tcBorders>
              <w:top w:val="nil"/>
              <w:left w:val="single" w:sz="8" w:space="0" w:color="000080"/>
              <w:bottom w:val="single" w:sz="8" w:space="0" w:color="000080"/>
              <w:right w:val="nil"/>
            </w:tcBorders>
            <w:vAlign w:val="center"/>
            <w:hideMark/>
          </w:tcPr>
          <w:p w14:paraId="70FF84F4"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8</w:t>
            </w:r>
          </w:p>
        </w:tc>
        <w:tc>
          <w:tcPr>
            <w:tcW w:w="1003" w:type="dxa"/>
            <w:tcBorders>
              <w:top w:val="nil"/>
              <w:left w:val="single" w:sz="8" w:space="0" w:color="000080"/>
              <w:bottom w:val="single" w:sz="8" w:space="0" w:color="000080"/>
              <w:right w:val="nil"/>
            </w:tcBorders>
            <w:vAlign w:val="center"/>
            <w:hideMark/>
          </w:tcPr>
          <w:p w14:paraId="159C7137"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4</w:t>
            </w:r>
          </w:p>
        </w:tc>
        <w:tc>
          <w:tcPr>
            <w:tcW w:w="1003" w:type="dxa"/>
            <w:tcBorders>
              <w:top w:val="nil"/>
              <w:left w:val="single" w:sz="8" w:space="0" w:color="000080"/>
              <w:bottom w:val="single" w:sz="8" w:space="0" w:color="000080"/>
              <w:right w:val="single" w:sz="8" w:space="0" w:color="000080"/>
            </w:tcBorders>
            <w:vAlign w:val="center"/>
            <w:hideMark/>
          </w:tcPr>
          <w:p w14:paraId="2DB0061A" w14:textId="77777777" w:rsidR="00043F9B" w:rsidRPr="00043F9B" w:rsidRDefault="00043F9B" w:rsidP="00043F9B">
            <w:pPr>
              <w:spacing w:after="0" w:line="240" w:lineRule="auto"/>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 </w:t>
            </w:r>
          </w:p>
        </w:tc>
      </w:tr>
      <w:tr w:rsidR="00043F9B" w:rsidRPr="00043F9B" w14:paraId="197D844D" w14:textId="77777777" w:rsidTr="00043F9B">
        <w:trPr>
          <w:trHeight w:val="300"/>
        </w:trPr>
        <w:tc>
          <w:tcPr>
            <w:tcW w:w="1350" w:type="dxa"/>
            <w:tcBorders>
              <w:top w:val="nil"/>
              <w:left w:val="single" w:sz="8" w:space="0" w:color="000080"/>
              <w:bottom w:val="single" w:sz="8" w:space="0" w:color="000080"/>
              <w:right w:val="nil"/>
            </w:tcBorders>
            <w:vAlign w:val="center"/>
            <w:hideMark/>
          </w:tcPr>
          <w:p w14:paraId="3638E896" w14:textId="77777777" w:rsidR="00043F9B" w:rsidRPr="00043F9B" w:rsidRDefault="00043F9B" w:rsidP="00043F9B">
            <w:pPr>
              <w:spacing w:after="0" w:line="240" w:lineRule="auto"/>
              <w:rPr>
                <w:rFonts w:ascii="Arial" w:eastAsia="Times New Roman" w:hAnsi="Arial" w:cs="Arial"/>
                <w:b/>
                <w:bCs/>
                <w:kern w:val="0"/>
                <w:sz w:val="20"/>
                <w:szCs w:val="20"/>
                <w:lang w:eastAsia="en-GB"/>
                <w14:ligatures w14:val="none"/>
              </w:rPr>
            </w:pPr>
            <w:r w:rsidRPr="00043F9B">
              <w:rPr>
                <w:rFonts w:ascii="Arial" w:eastAsia="Times New Roman" w:hAnsi="Arial" w:cs="Arial"/>
                <w:b/>
                <w:bCs/>
                <w:kern w:val="0"/>
                <w:sz w:val="20"/>
                <w:szCs w:val="20"/>
                <w:lang w:eastAsia="en-GB"/>
                <w14:ligatures w14:val="none"/>
              </w:rPr>
              <w:t>5 – 8</w:t>
            </w:r>
          </w:p>
        </w:tc>
        <w:tc>
          <w:tcPr>
            <w:tcW w:w="1003" w:type="dxa"/>
            <w:tcBorders>
              <w:top w:val="nil"/>
              <w:left w:val="single" w:sz="8" w:space="0" w:color="000080"/>
              <w:bottom w:val="single" w:sz="8" w:space="0" w:color="000080"/>
              <w:right w:val="nil"/>
            </w:tcBorders>
            <w:vAlign w:val="center"/>
            <w:hideMark/>
          </w:tcPr>
          <w:p w14:paraId="696D1BC7"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26</w:t>
            </w:r>
          </w:p>
        </w:tc>
        <w:tc>
          <w:tcPr>
            <w:tcW w:w="1003" w:type="dxa"/>
            <w:tcBorders>
              <w:top w:val="nil"/>
              <w:left w:val="single" w:sz="8" w:space="0" w:color="000080"/>
              <w:bottom w:val="single" w:sz="8" w:space="0" w:color="000080"/>
              <w:right w:val="nil"/>
            </w:tcBorders>
            <w:vAlign w:val="center"/>
            <w:hideMark/>
          </w:tcPr>
          <w:p w14:paraId="19CF816E"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16</w:t>
            </w:r>
          </w:p>
        </w:tc>
        <w:tc>
          <w:tcPr>
            <w:tcW w:w="1003" w:type="dxa"/>
            <w:tcBorders>
              <w:top w:val="nil"/>
              <w:left w:val="single" w:sz="8" w:space="0" w:color="000080"/>
              <w:bottom w:val="single" w:sz="8" w:space="0" w:color="000080"/>
              <w:right w:val="nil"/>
            </w:tcBorders>
            <w:vAlign w:val="center"/>
            <w:hideMark/>
          </w:tcPr>
          <w:p w14:paraId="48A50E29"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8</w:t>
            </w:r>
          </w:p>
        </w:tc>
        <w:tc>
          <w:tcPr>
            <w:tcW w:w="1003" w:type="dxa"/>
            <w:tcBorders>
              <w:top w:val="nil"/>
              <w:left w:val="single" w:sz="8" w:space="0" w:color="000080"/>
              <w:bottom w:val="single" w:sz="8" w:space="0" w:color="000080"/>
              <w:right w:val="single" w:sz="8" w:space="0" w:color="000080"/>
            </w:tcBorders>
            <w:vAlign w:val="center"/>
            <w:hideMark/>
          </w:tcPr>
          <w:p w14:paraId="7F1D1362"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4</w:t>
            </w:r>
          </w:p>
        </w:tc>
      </w:tr>
      <w:tr w:rsidR="00043F9B" w:rsidRPr="00043F9B" w14:paraId="4B40B3FD" w14:textId="77777777" w:rsidTr="00043F9B">
        <w:trPr>
          <w:trHeight w:val="300"/>
        </w:trPr>
        <w:tc>
          <w:tcPr>
            <w:tcW w:w="1350" w:type="dxa"/>
            <w:tcBorders>
              <w:top w:val="nil"/>
              <w:left w:val="single" w:sz="8" w:space="0" w:color="000080"/>
              <w:bottom w:val="single" w:sz="8" w:space="0" w:color="000080"/>
              <w:right w:val="nil"/>
            </w:tcBorders>
            <w:vAlign w:val="center"/>
            <w:hideMark/>
          </w:tcPr>
          <w:p w14:paraId="7F492E73" w14:textId="77777777" w:rsidR="00043F9B" w:rsidRPr="00043F9B" w:rsidRDefault="00043F9B" w:rsidP="00043F9B">
            <w:pPr>
              <w:spacing w:after="0" w:line="240" w:lineRule="auto"/>
              <w:rPr>
                <w:rFonts w:ascii="Arial" w:eastAsia="Times New Roman" w:hAnsi="Arial" w:cs="Arial"/>
                <w:b/>
                <w:bCs/>
                <w:kern w:val="0"/>
                <w:sz w:val="20"/>
                <w:szCs w:val="20"/>
                <w:lang w:eastAsia="en-GB"/>
                <w14:ligatures w14:val="none"/>
              </w:rPr>
            </w:pPr>
            <w:r w:rsidRPr="00043F9B">
              <w:rPr>
                <w:rFonts w:ascii="Arial" w:eastAsia="Times New Roman" w:hAnsi="Arial" w:cs="Arial"/>
                <w:b/>
                <w:bCs/>
                <w:kern w:val="0"/>
                <w:sz w:val="20"/>
                <w:szCs w:val="20"/>
                <w:lang w:eastAsia="en-GB"/>
                <w14:ligatures w14:val="none"/>
              </w:rPr>
              <w:t xml:space="preserve"> 9 - 12</w:t>
            </w:r>
          </w:p>
        </w:tc>
        <w:tc>
          <w:tcPr>
            <w:tcW w:w="1003" w:type="dxa"/>
            <w:tcBorders>
              <w:top w:val="nil"/>
              <w:left w:val="single" w:sz="8" w:space="0" w:color="000080"/>
              <w:bottom w:val="single" w:sz="8" w:space="0" w:color="000080"/>
              <w:right w:val="nil"/>
            </w:tcBorders>
            <w:vAlign w:val="center"/>
            <w:hideMark/>
          </w:tcPr>
          <w:p w14:paraId="231982BD"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32</w:t>
            </w:r>
          </w:p>
        </w:tc>
        <w:tc>
          <w:tcPr>
            <w:tcW w:w="1003" w:type="dxa"/>
            <w:tcBorders>
              <w:top w:val="nil"/>
              <w:left w:val="single" w:sz="8" w:space="0" w:color="000080"/>
              <w:bottom w:val="single" w:sz="8" w:space="0" w:color="000080"/>
              <w:right w:val="nil"/>
            </w:tcBorders>
            <w:vAlign w:val="center"/>
            <w:hideMark/>
          </w:tcPr>
          <w:p w14:paraId="24B94BD4"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21</w:t>
            </w:r>
          </w:p>
        </w:tc>
        <w:tc>
          <w:tcPr>
            <w:tcW w:w="1003" w:type="dxa"/>
            <w:tcBorders>
              <w:top w:val="nil"/>
              <w:left w:val="single" w:sz="8" w:space="0" w:color="000080"/>
              <w:bottom w:val="single" w:sz="8" w:space="0" w:color="000080"/>
              <w:right w:val="nil"/>
            </w:tcBorders>
            <w:vAlign w:val="center"/>
            <w:hideMark/>
          </w:tcPr>
          <w:p w14:paraId="739EBC36"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12</w:t>
            </w:r>
          </w:p>
        </w:tc>
        <w:tc>
          <w:tcPr>
            <w:tcW w:w="1003" w:type="dxa"/>
            <w:tcBorders>
              <w:top w:val="nil"/>
              <w:left w:val="single" w:sz="8" w:space="0" w:color="000080"/>
              <w:bottom w:val="single" w:sz="8" w:space="0" w:color="000080"/>
              <w:right w:val="single" w:sz="8" w:space="0" w:color="000080"/>
            </w:tcBorders>
            <w:vAlign w:val="center"/>
            <w:hideMark/>
          </w:tcPr>
          <w:p w14:paraId="2BA7464D"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6</w:t>
            </w:r>
          </w:p>
        </w:tc>
      </w:tr>
      <w:tr w:rsidR="00043F9B" w:rsidRPr="00043F9B" w14:paraId="688B3F94" w14:textId="77777777" w:rsidTr="00043F9B">
        <w:trPr>
          <w:trHeight w:val="300"/>
        </w:trPr>
        <w:tc>
          <w:tcPr>
            <w:tcW w:w="1350" w:type="dxa"/>
            <w:tcBorders>
              <w:top w:val="nil"/>
              <w:left w:val="single" w:sz="8" w:space="0" w:color="000080"/>
              <w:bottom w:val="single" w:sz="8" w:space="0" w:color="000080"/>
              <w:right w:val="nil"/>
            </w:tcBorders>
            <w:vAlign w:val="center"/>
            <w:hideMark/>
          </w:tcPr>
          <w:p w14:paraId="0C45DDB6" w14:textId="77777777" w:rsidR="00043F9B" w:rsidRPr="00043F9B" w:rsidRDefault="00043F9B" w:rsidP="00043F9B">
            <w:pPr>
              <w:spacing w:after="0" w:line="240" w:lineRule="auto"/>
              <w:rPr>
                <w:rFonts w:ascii="Arial" w:eastAsia="Times New Roman" w:hAnsi="Arial" w:cs="Arial"/>
                <w:b/>
                <w:bCs/>
                <w:kern w:val="0"/>
                <w:sz w:val="20"/>
                <w:szCs w:val="20"/>
                <w:lang w:eastAsia="en-GB"/>
                <w14:ligatures w14:val="none"/>
              </w:rPr>
            </w:pPr>
            <w:r w:rsidRPr="00043F9B">
              <w:rPr>
                <w:rFonts w:ascii="Arial" w:eastAsia="Times New Roman" w:hAnsi="Arial" w:cs="Arial"/>
                <w:b/>
                <w:bCs/>
                <w:kern w:val="0"/>
                <w:sz w:val="20"/>
                <w:szCs w:val="20"/>
                <w:lang w:eastAsia="en-GB"/>
                <w14:ligatures w14:val="none"/>
              </w:rPr>
              <w:t>13 - 16</w:t>
            </w:r>
          </w:p>
        </w:tc>
        <w:tc>
          <w:tcPr>
            <w:tcW w:w="1003" w:type="dxa"/>
            <w:tcBorders>
              <w:top w:val="nil"/>
              <w:left w:val="single" w:sz="8" w:space="0" w:color="000080"/>
              <w:bottom w:val="single" w:sz="8" w:space="0" w:color="000080"/>
              <w:right w:val="nil"/>
            </w:tcBorders>
            <w:vAlign w:val="center"/>
            <w:hideMark/>
          </w:tcPr>
          <w:p w14:paraId="789B74A6"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38</w:t>
            </w:r>
          </w:p>
        </w:tc>
        <w:tc>
          <w:tcPr>
            <w:tcW w:w="1003" w:type="dxa"/>
            <w:tcBorders>
              <w:top w:val="nil"/>
              <w:left w:val="single" w:sz="8" w:space="0" w:color="000080"/>
              <w:bottom w:val="single" w:sz="8" w:space="0" w:color="000080"/>
              <w:right w:val="nil"/>
            </w:tcBorders>
            <w:vAlign w:val="center"/>
            <w:hideMark/>
          </w:tcPr>
          <w:p w14:paraId="7ED6EDCD"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26</w:t>
            </w:r>
          </w:p>
        </w:tc>
        <w:tc>
          <w:tcPr>
            <w:tcW w:w="1003" w:type="dxa"/>
            <w:tcBorders>
              <w:top w:val="nil"/>
              <w:left w:val="single" w:sz="8" w:space="0" w:color="000080"/>
              <w:bottom w:val="single" w:sz="8" w:space="0" w:color="000080"/>
              <w:right w:val="nil"/>
            </w:tcBorders>
            <w:vAlign w:val="center"/>
            <w:hideMark/>
          </w:tcPr>
          <w:p w14:paraId="166DD679"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16</w:t>
            </w:r>
          </w:p>
        </w:tc>
        <w:tc>
          <w:tcPr>
            <w:tcW w:w="1003" w:type="dxa"/>
            <w:tcBorders>
              <w:top w:val="nil"/>
              <w:left w:val="single" w:sz="8" w:space="0" w:color="000080"/>
              <w:bottom w:val="single" w:sz="8" w:space="0" w:color="000080"/>
              <w:right w:val="single" w:sz="8" w:space="0" w:color="000080"/>
            </w:tcBorders>
            <w:vAlign w:val="center"/>
            <w:hideMark/>
          </w:tcPr>
          <w:p w14:paraId="0EC9A352"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8</w:t>
            </w:r>
          </w:p>
        </w:tc>
      </w:tr>
      <w:tr w:rsidR="00043F9B" w:rsidRPr="00043F9B" w14:paraId="5665F88D" w14:textId="77777777" w:rsidTr="00043F9B">
        <w:trPr>
          <w:trHeight w:val="300"/>
        </w:trPr>
        <w:tc>
          <w:tcPr>
            <w:tcW w:w="1350" w:type="dxa"/>
            <w:tcBorders>
              <w:top w:val="nil"/>
              <w:left w:val="single" w:sz="8" w:space="0" w:color="000080"/>
              <w:bottom w:val="single" w:sz="8" w:space="0" w:color="000080"/>
              <w:right w:val="nil"/>
            </w:tcBorders>
            <w:vAlign w:val="center"/>
            <w:hideMark/>
          </w:tcPr>
          <w:p w14:paraId="4112F2D9" w14:textId="77777777" w:rsidR="00043F9B" w:rsidRPr="00043F9B" w:rsidRDefault="00043F9B" w:rsidP="00043F9B">
            <w:pPr>
              <w:spacing w:after="0" w:line="240" w:lineRule="auto"/>
              <w:rPr>
                <w:rFonts w:ascii="Arial" w:eastAsia="Times New Roman" w:hAnsi="Arial" w:cs="Arial"/>
                <w:b/>
                <w:bCs/>
                <w:kern w:val="0"/>
                <w:sz w:val="20"/>
                <w:szCs w:val="20"/>
                <w:lang w:eastAsia="en-GB"/>
                <w14:ligatures w14:val="none"/>
              </w:rPr>
            </w:pPr>
            <w:r w:rsidRPr="00043F9B">
              <w:rPr>
                <w:rFonts w:ascii="Arial" w:eastAsia="Times New Roman" w:hAnsi="Arial" w:cs="Arial"/>
                <w:b/>
                <w:bCs/>
                <w:kern w:val="0"/>
                <w:sz w:val="20"/>
                <w:szCs w:val="20"/>
                <w:lang w:eastAsia="en-GB"/>
                <w14:ligatures w14:val="none"/>
              </w:rPr>
              <w:t>17 - 24</w:t>
            </w:r>
          </w:p>
        </w:tc>
        <w:tc>
          <w:tcPr>
            <w:tcW w:w="1003" w:type="dxa"/>
            <w:tcBorders>
              <w:top w:val="nil"/>
              <w:left w:val="single" w:sz="8" w:space="0" w:color="000080"/>
              <w:bottom w:val="single" w:sz="8" w:space="0" w:color="000080"/>
              <w:right w:val="nil"/>
            </w:tcBorders>
            <w:vAlign w:val="center"/>
            <w:hideMark/>
          </w:tcPr>
          <w:p w14:paraId="6F605EEE"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45</w:t>
            </w:r>
          </w:p>
        </w:tc>
        <w:tc>
          <w:tcPr>
            <w:tcW w:w="1003" w:type="dxa"/>
            <w:tcBorders>
              <w:top w:val="nil"/>
              <w:left w:val="single" w:sz="8" w:space="0" w:color="000080"/>
              <w:bottom w:val="single" w:sz="8" w:space="0" w:color="000080"/>
              <w:right w:val="nil"/>
            </w:tcBorders>
            <w:vAlign w:val="center"/>
            <w:hideMark/>
          </w:tcPr>
          <w:p w14:paraId="5F26BED4"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32</w:t>
            </w:r>
          </w:p>
        </w:tc>
        <w:tc>
          <w:tcPr>
            <w:tcW w:w="1003" w:type="dxa"/>
            <w:tcBorders>
              <w:top w:val="nil"/>
              <w:left w:val="single" w:sz="8" w:space="0" w:color="000080"/>
              <w:bottom w:val="single" w:sz="8" w:space="0" w:color="000080"/>
              <w:right w:val="nil"/>
            </w:tcBorders>
            <w:vAlign w:val="center"/>
            <w:hideMark/>
          </w:tcPr>
          <w:p w14:paraId="6C73BA48"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21</w:t>
            </w:r>
          </w:p>
        </w:tc>
        <w:tc>
          <w:tcPr>
            <w:tcW w:w="1003" w:type="dxa"/>
            <w:tcBorders>
              <w:top w:val="nil"/>
              <w:left w:val="single" w:sz="8" w:space="0" w:color="000080"/>
              <w:bottom w:val="single" w:sz="8" w:space="0" w:color="000080"/>
              <w:right w:val="single" w:sz="8" w:space="0" w:color="000080"/>
            </w:tcBorders>
            <w:vAlign w:val="center"/>
            <w:hideMark/>
          </w:tcPr>
          <w:p w14:paraId="2EBE523F"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12</w:t>
            </w:r>
          </w:p>
        </w:tc>
      </w:tr>
      <w:tr w:rsidR="00043F9B" w:rsidRPr="00043F9B" w14:paraId="57F3396B" w14:textId="77777777" w:rsidTr="00043F9B">
        <w:trPr>
          <w:trHeight w:val="300"/>
        </w:trPr>
        <w:tc>
          <w:tcPr>
            <w:tcW w:w="1350" w:type="dxa"/>
            <w:tcBorders>
              <w:top w:val="nil"/>
              <w:left w:val="single" w:sz="8" w:space="0" w:color="000080"/>
              <w:bottom w:val="single" w:sz="8" w:space="0" w:color="000080"/>
              <w:right w:val="nil"/>
            </w:tcBorders>
            <w:vAlign w:val="center"/>
            <w:hideMark/>
          </w:tcPr>
          <w:p w14:paraId="20FD25DF" w14:textId="77777777" w:rsidR="00043F9B" w:rsidRPr="00043F9B" w:rsidRDefault="00043F9B" w:rsidP="00043F9B">
            <w:pPr>
              <w:spacing w:after="0" w:line="240" w:lineRule="auto"/>
              <w:rPr>
                <w:rFonts w:ascii="Arial" w:eastAsia="Times New Roman" w:hAnsi="Arial" w:cs="Arial"/>
                <w:b/>
                <w:bCs/>
                <w:kern w:val="0"/>
                <w:sz w:val="20"/>
                <w:szCs w:val="20"/>
                <w:lang w:eastAsia="en-GB"/>
                <w14:ligatures w14:val="none"/>
              </w:rPr>
            </w:pPr>
            <w:r w:rsidRPr="00043F9B">
              <w:rPr>
                <w:rFonts w:ascii="Arial" w:eastAsia="Times New Roman" w:hAnsi="Arial" w:cs="Arial"/>
                <w:b/>
                <w:bCs/>
                <w:kern w:val="0"/>
                <w:sz w:val="20"/>
                <w:szCs w:val="20"/>
                <w:lang w:eastAsia="en-GB"/>
                <w14:ligatures w14:val="none"/>
              </w:rPr>
              <w:t>25 - 32</w:t>
            </w:r>
          </w:p>
        </w:tc>
        <w:tc>
          <w:tcPr>
            <w:tcW w:w="1003" w:type="dxa"/>
            <w:tcBorders>
              <w:top w:val="nil"/>
              <w:left w:val="single" w:sz="8" w:space="0" w:color="000080"/>
              <w:bottom w:val="single" w:sz="8" w:space="0" w:color="000080"/>
              <w:right w:val="nil"/>
            </w:tcBorders>
            <w:vAlign w:val="center"/>
            <w:hideMark/>
          </w:tcPr>
          <w:p w14:paraId="6405BDCE"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52</w:t>
            </w:r>
          </w:p>
        </w:tc>
        <w:tc>
          <w:tcPr>
            <w:tcW w:w="1003" w:type="dxa"/>
            <w:tcBorders>
              <w:top w:val="nil"/>
              <w:left w:val="single" w:sz="8" w:space="0" w:color="000080"/>
              <w:bottom w:val="single" w:sz="8" w:space="0" w:color="000080"/>
              <w:right w:val="nil"/>
            </w:tcBorders>
            <w:vAlign w:val="center"/>
            <w:hideMark/>
          </w:tcPr>
          <w:p w14:paraId="4B4F7861"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38</w:t>
            </w:r>
          </w:p>
        </w:tc>
        <w:tc>
          <w:tcPr>
            <w:tcW w:w="1003" w:type="dxa"/>
            <w:tcBorders>
              <w:top w:val="nil"/>
              <w:left w:val="single" w:sz="8" w:space="0" w:color="000080"/>
              <w:bottom w:val="single" w:sz="8" w:space="0" w:color="000080"/>
              <w:right w:val="nil"/>
            </w:tcBorders>
            <w:vAlign w:val="center"/>
            <w:hideMark/>
          </w:tcPr>
          <w:p w14:paraId="42C9F455"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26</w:t>
            </w:r>
          </w:p>
        </w:tc>
        <w:tc>
          <w:tcPr>
            <w:tcW w:w="1003" w:type="dxa"/>
            <w:tcBorders>
              <w:top w:val="nil"/>
              <w:left w:val="single" w:sz="8" w:space="0" w:color="000080"/>
              <w:bottom w:val="single" w:sz="8" w:space="0" w:color="000080"/>
              <w:right w:val="single" w:sz="8" w:space="0" w:color="000080"/>
            </w:tcBorders>
            <w:vAlign w:val="center"/>
            <w:hideMark/>
          </w:tcPr>
          <w:p w14:paraId="58AF4B93"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16</w:t>
            </w:r>
          </w:p>
        </w:tc>
      </w:tr>
      <w:tr w:rsidR="00043F9B" w:rsidRPr="00043F9B" w14:paraId="12A1F77E" w14:textId="77777777" w:rsidTr="00043F9B">
        <w:trPr>
          <w:trHeight w:val="300"/>
        </w:trPr>
        <w:tc>
          <w:tcPr>
            <w:tcW w:w="1350" w:type="dxa"/>
            <w:tcBorders>
              <w:top w:val="nil"/>
              <w:left w:val="single" w:sz="8" w:space="0" w:color="000080"/>
              <w:bottom w:val="single" w:sz="8" w:space="0" w:color="000080"/>
              <w:right w:val="nil"/>
            </w:tcBorders>
            <w:vAlign w:val="center"/>
            <w:hideMark/>
          </w:tcPr>
          <w:p w14:paraId="28EE90BE" w14:textId="77777777" w:rsidR="00043F9B" w:rsidRPr="00043F9B" w:rsidRDefault="00043F9B" w:rsidP="00043F9B">
            <w:pPr>
              <w:spacing w:after="0" w:line="240" w:lineRule="auto"/>
              <w:rPr>
                <w:rFonts w:ascii="Arial" w:eastAsia="Times New Roman" w:hAnsi="Arial" w:cs="Arial"/>
                <w:b/>
                <w:bCs/>
                <w:kern w:val="0"/>
                <w:sz w:val="20"/>
                <w:szCs w:val="20"/>
                <w:lang w:eastAsia="en-GB"/>
                <w14:ligatures w14:val="none"/>
              </w:rPr>
            </w:pPr>
            <w:r w:rsidRPr="00043F9B">
              <w:rPr>
                <w:rFonts w:ascii="Arial" w:eastAsia="Times New Roman" w:hAnsi="Arial" w:cs="Arial"/>
                <w:b/>
                <w:bCs/>
                <w:kern w:val="0"/>
                <w:sz w:val="20"/>
                <w:szCs w:val="20"/>
                <w:lang w:eastAsia="en-GB"/>
                <w14:ligatures w14:val="none"/>
              </w:rPr>
              <w:t>33 - 48</w:t>
            </w:r>
          </w:p>
        </w:tc>
        <w:tc>
          <w:tcPr>
            <w:tcW w:w="1003" w:type="dxa"/>
            <w:tcBorders>
              <w:top w:val="nil"/>
              <w:left w:val="single" w:sz="8" w:space="0" w:color="000080"/>
              <w:bottom w:val="single" w:sz="8" w:space="0" w:color="000080"/>
              <w:right w:val="nil"/>
            </w:tcBorders>
            <w:vAlign w:val="center"/>
            <w:hideMark/>
          </w:tcPr>
          <w:p w14:paraId="69A53F4C"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62</w:t>
            </w:r>
          </w:p>
        </w:tc>
        <w:tc>
          <w:tcPr>
            <w:tcW w:w="1003" w:type="dxa"/>
            <w:tcBorders>
              <w:top w:val="nil"/>
              <w:left w:val="single" w:sz="8" w:space="0" w:color="000080"/>
              <w:bottom w:val="single" w:sz="8" w:space="0" w:color="000080"/>
              <w:right w:val="nil"/>
            </w:tcBorders>
            <w:vAlign w:val="center"/>
            <w:hideMark/>
          </w:tcPr>
          <w:p w14:paraId="037A26F9"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45</w:t>
            </w:r>
          </w:p>
        </w:tc>
        <w:tc>
          <w:tcPr>
            <w:tcW w:w="1003" w:type="dxa"/>
            <w:tcBorders>
              <w:top w:val="nil"/>
              <w:left w:val="single" w:sz="8" w:space="0" w:color="000080"/>
              <w:bottom w:val="single" w:sz="8" w:space="0" w:color="000080"/>
              <w:right w:val="nil"/>
            </w:tcBorders>
            <w:vAlign w:val="center"/>
            <w:hideMark/>
          </w:tcPr>
          <w:p w14:paraId="0035C234"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32</w:t>
            </w:r>
          </w:p>
        </w:tc>
        <w:tc>
          <w:tcPr>
            <w:tcW w:w="1003" w:type="dxa"/>
            <w:tcBorders>
              <w:top w:val="nil"/>
              <w:left w:val="single" w:sz="8" w:space="0" w:color="000080"/>
              <w:bottom w:val="single" w:sz="8" w:space="0" w:color="000080"/>
              <w:right w:val="single" w:sz="8" w:space="0" w:color="000080"/>
            </w:tcBorders>
            <w:vAlign w:val="center"/>
            <w:hideMark/>
          </w:tcPr>
          <w:p w14:paraId="2967EAA8"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21</w:t>
            </w:r>
          </w:p>
        </w:tc>
      </w:tr>
      <w:tr w:rsidR="00043F9B" w:rsidRPr="00043F9B" w14:paraId="2B86F0D0" w14:textId="77777777" w:rsidTr="00043F9B">
        <w:trPr>
          <w:trHeight w:val="300"/>
        </w:trPr>
        <w:tc>
          <w:tcPr>
            <w:tcW w:w="1350" w:type="dxa"/>
            <w:tcBorders>
              <w:top w:val="nil"/>
              <w:left w:val="single" w:sz="8" w:space="0" w:color="000080"/>
              <w:bottom w:val="single" w:sz="8" w:space="0" w:color="000080"/>
              <w:right w:val="nil"/>
            </w:tcBorders>
            <w:vAlign w:val="center"/>
            <w:hideMark/>
          </w:tcPr>
          <w:p w14:paraId="6AA05112" w14:textId="77777777" w:rsidR="00043F9B" w:rsidRPr="00043F9B" w:rsidRDefault="00043F9B" w:rsidP="00043F9B">
            <w:pPr>
              <w:spacing w:after="0" w:line="240" w:lineRule="auto"/>
              <w:rPr>
                <w:rFonts w:ascii="Arial" w:eastAsia="Times New Roman" w:hAnsi="Arial" w:cs="Arial"/>
                <w:b/>
                <w:bCs/>
                <w:kern w:val="0"/>
                <w:sz w:val="20"/>
                <w:szCs w:val="20"/>
                <w:lang w:eastAsia="en-GB"/>
                <w14:ligatures w14:val="none"/>
              </w:rPr>
            </w:pPr>
            <w:r w:rsidRPr="00043F9B">
              <w:rPr>
                <w:rFonts w:ascii="Arial" w:eastAsia="Times New Roman" w:hAnsi="Arial" w:cs="Arial"/>
                <w:b/>
                <w:bCs/>
                <w:kern w:val="0"/>
                <w:sz w:val="20"/>
                <w:szCs w:val="20"/>
                <w:lang w:eastAsia="en-GB"/>
                <w14:ligatures w14:val="none"/>
              </w:rPr>
              <w:t>49 - 64</w:t>
            </w:r>
          </w:p>
        </w:tc>
        <w:tc>
          <w:tcPr>
            <w:tcW w:w="1003" w:type="dxa"/>
            <w:tcBorders>
              <w:top w:val="nil"/>
              <w:left w:val="single" w:sz="8" w:space="0" w:color="000080"/>
              <w:bottom w:val="single" w:sz="8" w:space="0" w:color="000080"/>
              <w:right w:val="nil"/>
            </w:tcBorders>
            <w:vAlign w:val="center"/>
            <w:hideMark/>
          </w:tcPr>
          <w:p w14:paraId="73083F14"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72</w:t>
            </w:r>
          </w:p>
        </w:tc>
        <w:tc>
          <w:tcPr>
            <w:tcW w:w="1003" w:type="dxa"/>
            <w:tcBorders>
              <w:top w:val="nil"/>
              <w:left w:val="single" w:sz="8" w:space="0" w:color="000080"/>
              <w:bottom w:val="single" w:sz="8" w:space="0" w:color="000080"/>
              <w:right w:val="nil"/>
            </w:tcBorders>
            <w:vAlign w:val="center"/>
            <w:hideMark/>
          </w:tcPr>
          <w:p w14:paraId="1E68D402"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52</w:t>
            </w:r>
          </w:p>
        </w:tc>
        <w:tc>
          <w:tcPr>
            <w:tcW w:w="1003" w:type="dxa"/>
            <w:tcBorders>
              <w:top w:val="nil"/>
              <w:left w:val="single" w:sz="8" w:space="0" w:color="000080"/>
              <w:bottom w:val="single" w:sz="8" w:space="0" w:color="000080"/>
              <w:right w:val="nil"/>
            </w:tcBorders>
            <w:vAlign w:val="center"/>
            <w:hideMark/>
          </w:tcPr>
          <w:p w14:paraId="369A203A"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38</w:t>
            </w:r>
          </w:p>
        </w:tc>
        <w:tc>
          <w:tcPr>
            <w:tcW w:w="1003" w:type="dxa"/>
            <w:tcBorders>
              <w:top w:val="nil"/>
              <w:left w:val="single" w:sz="8" w:space="0" w:color="000080"/>
              <w:bottom w:val="single" w:sz="8" w:space="0" w:color="000080"/>
              <w:right w:val="single" w:sz="8" w:space="0" w:color="000080"/>
            </w:tcBorders>
            <w:vAlign w:val="center"/>
            <w:hideMark/>
          </w:tcPr>
          <w:p w14:paraId="51D32032" w14:textId="77777777" w:rsidR="00043F9B" w:rsidRPr="00043F9B" w:rsidRDefault="00043F9B" w:rsidP="00043F9B">
            <w:pPr>
              <w:spacing w:after="0" w:line="240" w:lineRule="auto"/>
              <w:jc w:val="right"/>
              <w:rPr>
                <w:rFonts w:ascii="Arial" w:eastAsia="Times New Roman" w:hAnsi="Arial" w:cs="Arial"/>
                <w:kern w:val="0"/>
                <w:sz w:val="20"/>
                <w:szCs w:val="20"/>
                <w:lang w:eastAsia="en-GB"/>
                <w14:ligatures w14:val="none"/>
              </w:rPr>
            </w:pPr>
            <w:r w:rsidRPr="00043F9B">
              <w:rPr>
                <w:rFonts w:ascii="Arial" w:eastAsia="Times New Roman" w:hAnsi="Arial" w:cs="Arial"/>
                <w:kern w:val="0"/>
                <w:sz w:val="20"/>
                <w:szCs w:val="20"/>
                <w:lang w:eastAsia="en-GB"/>
                <w14:ligatures w14:val="none"/>
              </w:rPr>
              <w:t>26</w:t>
            </w:r>
          </w:p>
        </w:tc>
      </w:tr>
    </w:tbl>
    <w:p w14:paraId="2877AB02" w14:textId="77777777" w:rsidR="00043F9B" w:rsidRPr="00AF4044" w:rsidRDefault="00043F9B" w:rsidP="00AF4044">
      <w:pPr>
        <w:spacing w:after="0" w:line="240" w:lineRule="auto"/>
        <w:jc w:val="center"/>
        <w:rPr>
          <w:rFonts w:eastAsia="Times New Roman" w:cs="Times New Roman"/>
          <w:kern w:val="0"/>
          <w:lang w:eastAsia="en-GB"/>
          <w14:ligatures w14:val="none"/>
        </w:rPr>
      </w:pPr>
    </w:p>
    <w:p w14:paraId="3F4D2934" w14:textId="77777777" w:rsidR="00AF4044" w:rsidRPr="00AF4044" w:rsidRDefault="00AF4044"/>
    <w:sectPr w:rsidR="00AF4044" w:rsidRPr="00AF40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44"/>
    <w:rsid w:val="00043F9B"/>
    <w:rsid w:val="0028139A"/>
    <w:rsid w:val="007254D7"/>
    <w:rsid w:val="00AF4044"/>
    <w:rsid w:val="00E36F64"/>
    <w:rsid w:val="00FA772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9C6A63D"/>
  <w15:chartTrackingRefBased/>
  <w15:docId w15:val="{6944958C-82BB-CB42-B81D-8B57E263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044"/>
    <w:rPr>
      <w:rFonts w:eastAsiaTheme="majorEastAsia" w:cstheme="majorBidi"/>
      <w:color w:val="272727" w:themeColor="text1" w:themeTint="D8"/>
    </w:rPr>
  </w:style>
  <w:style w:type="paragraph" w:styleId="Title">
    <w:name w:val="Title"/>
    <w:basedOn w:val="Normal"/>
    <w:next w:val="Normal"/>
    <w:link w:val="TitleChar"/>
    <w:uiPriority w:val="10"/>
    <w:qFormat/>
    <w:rsid w:val="00AF4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044"/>
    <w:pPr>
      <w:spacing w:before="160"/>
      <w:jc w:val="center"/>
    </w:pPr>
    <w:rPr>
      <w:i/>
      <w:iCs/>
      <w:color w:val="404040" w:themeColor="text1" w:themeTint="BF"/>
    </w:rPr>
  </w:style>
  <w:style w:type="character" w:customStyle="1" w:styleId="QuoteChar">
    <w:name w:val="Quote Char"/>
    <w:basedOn w:val="DefaultParagraphFont"/>
    <w:link w:val="Quote"/>
    <w:uiPriority w:val="29"/>
    <w:rsid w:val="00AF4044"/>
    <w:rPr>
      <w:i/>
      <w:iCs/>
      <w:color w:val="404040" w:themeColor="text1" w:themeTint="BF"/>
    </w:rPr>
  </w:style>
  <w:style w:type="paragraph" w:styleId="ListParagraph">
    <w:name w:val="List Paragraph"/>
    <w:basedOn w:val="Normal"/>
    <w:uiPriority w:val="34"/>
    <w:qFormat/>
    <w:rsid w:val="00AF4044"/>
    <w:pPr>
      <w:ind w:left="720"/>
      <w:contextualSpacing/>
    </w:pPr>
  </w:style>
  <w:style w:type="character" w:styleId="IntenseEmphasis">
    <w:name w:val="Intense Emphasis"/>
    <w:basedOn w:val="DefaultParagraphFont"/>
    <w:uiPriority w:val="21"/>
    <w:qFormat/>
    <w:rsid w:val="00AF4044"/>
    <w:rPr>
      <w:i/>
      <w:iCs/>
      <w:color w:val="0F4761" w:themeColor="accent1" w:themeShade="BF"/>
    </w:rPr>
  </w:style>
  <w:style w:type="paragraph" w:styleId="IntenseQuote">
    <w:name w:val="Intense Quote"/>
    <w:basedOn w:val="Normal"/>
    <w:next w:val="Normal"/>
    <w:link w:val="IntenseQuoteChar"/>
    <w:uiPriority w:val="30"/>
    <w:qFormat/>
    <w:rsid w:val="00AF4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044"/>
    <w:rPr>
      <w:i/>
      <w:iCs/>
      <w:color w:val="0F4761" w:themeColor="accent1" w:themeShade="BF"/>
    </w:rPr>
  </w:style>
  <w:style w:type="character" w:styleId="IntenseReference">
    <w:name w:val="Intense Reference"/>
    <w:basedOn w:val="DefaultParagraphFont"/>
    <w:uiPriority w:val="32"/>
    <w:qFormat/>
    <w:rsid w:val="00AF4044"/>
    <w:rPr>
      <w:b/>
      <w:bCs/>
      <w:smallCaps/>
      <w:color w:val="0F4761" w:themeColor="accent1" w:themeShade="BF"/>
      <w:spacing w:val="5"/>
    </w:rPr>
  </w:style>
  <w:style w:type="character" w:customStyle="1" w:styleId="apple-converted-space">
    <w:name w:val="apple-converted-space"/>
    <w:basedOn w:val="DefaultParagraphFont"/>
    <w:rsid w:val="00AF4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Rutger Scharloo | The Production Factory</dc:creator>
  <cp:keywords/>
  <dc:description/>
  <cp:lastModifiedBy>Rutger Scharloo | The Production Factory</cp:lastModifiedBy>
  <cp:revision>5</cp:revision>
  <dcterms:created xsi:type="dcterms:W3CDTF">2026-04-07T20:37:00Z</dcterms:created>
  <dcterms:modified xsi:type="dcterms:W3CDTF">2026-04-07T20:51:00Z</dcterms:modified>
</cp:coreProperties>
</file>